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E052E" w14:textId="77777777" w:rsidR="00C91FF3" w:rsidRPr="00814972" w:rsidRDefault="00000000">
      <w:pPr>
        <w:pStyle w:val="Title"/>
        <w:rPr>
          <w:rFonts w:ascii="Arial" w:hAnsi="Arial" w:cs="Arial"/>
          <w:color w:val="auto"/>
          <w:sz w:val="28"/>
          <w:szCs w:val="28"/>
        </w:rPr>
      </w:pPr>
      <w:r w:rsidRPr="00814972">
        <w:rPr>
          <w:rFonts w:ascii="Arial" w:hAnsi="Arial" w:cs="Arial"/>
          <w:color w:val="auto"/>
          <w:sz w:val="28"/>
          <w:szCs w:val="28"/>
        </w:rPr>
        <w:t>Careers &amp; Pathways Resource Sheet</w:t>
      </w:r>
    </w:p>
    <w:p w14:paraId="3B598FDA" w14:textId="77777777" w:rsidR="00C91FF3" w:rsidRPr="00814972" w:rsidRDefault="00000000">
      <w:pPr>
        <w:rPr>
          <w:rFonts w:ascii="Arial" w:hAnsi="Arial" w:cs="Arial"/>
          <w:sz w:val="20"/>
          <w:szCs w:val="20"/>
        </w:rPr>
      </w:pPr>
      <w:r w:rsidRPr="00814972">
        <w:rPr>
          <w:rFonts w:ascii="Arial" w:hAnsi="Arial" w:cs="Arial"/>
          <w:sz w:val="20"/>
          <w:szCs w:val="20"/>
        </w:rPr>
        <w:t>A broad view of where accounting can lead</w:t>
      </w:r>
    </w:p>
    <w:p w14:paraId="75F06560" w14:textId="77777777" w:rsidR="00C91FF3" w:rsidRPr="00814972" w:rsidRDefault="00000000">
      <w:pPr>
        <w:rPr>
          <w:rFonts w:ascii="Arial" w:hAnsi="Arial" w:cs="Arial"/>
          <w:sz w:val="20"/>
          <w:szCs w:val="20"/>
        </w:rPr>
      </w:pPr>
      <w:r w:rsidRPr="00814972">
        <w:rPr>
          <w:rFonts w:ascii="Arial" w:hAnsi="Arial" w:cs="Arial"/>
          <w:b/>
          <w:sz w:val="20"/>
          <w:szCs w:val="20"/>
        </w:rPr>
        <w:t>Make Accounting Great Again | Student Associations Collaboration Program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0"/>
        <w:gridCol w:w="5040"/>
      </w:tblGrid>
      <w:tr w:rsidR="00C91FF3" w:rsidRPr="00814972" w14:paraId="27DA7929" w14:textId="77777777">
        <w:tc>
          <w:tcPr>
            <w:tcW w:w="5040" w:type="dxa"/>
            <w:shd w:val="clear" w:color="auto" w:fill="17365D"/>
          </w:tcPr>
          <w:p w14:paraId="226E0325" w14:textId="77777777" w:rsidR="00C91FF3" w:rsidRPr="0081497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14972">
              <w:rPr>
                <w:rFonts w:ascii="Arial" w:hAnsi="Arial" w:cs="Arial"/>
                <w:b/>
                <w:sz w:val="20"/>
                <w:szCs w:val="20"/>
              </w:rPr>
              <w:t>Area</w:t>
            </w:r>
          </w:p>
        </w:tc>
        <w:tc>
          <w:tcPr>
            <w:tcW w:w="5040" w:type="dxa"/>
            <w:shd w:val="clear" w:color="auto" w:fill="17365D"/>
          </w:tcPr>
          <w:p w14:paraId="717B723D" w14:textId="77777777" w:rsidR="00C91FF3" w:rsidRPr="0081497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14972">
              <w:rPr>
                <w:rFonts w:ascii="Arial" w:hAnsi="Arial" w:cs="Arial"/>
                <w:b/>
                <w:sz w:val="20"/>
                <w:szCs w:val="20"/>
              </w:rPr>
              <w:t>Examples</w:t>
            </w:r>
          </w:p>
        </w:tc>
      </w:tr>
      <w:tr w:rsidR="00C91FF3" w:rsidRPr="00814972" w14:paraId="69F50208" w14:textId="77777777">
        <w:tc>
          <w:tcPr>
            <w:tcW w:w="5040" w:type="dxa"/>
          </w:tcPr>
          <w:p w14:paraId="0366DC0F" w14:textId="77777777" w:rsidR="00C91FF3" w:rsidRPr="0081497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14972">
              <w:rPr>
                <w:rFonts w:ascii="Arial" w:hAnsi="Arial" w:cs="Arial"/>
                <w:sz w:val="20"/>
                <w:szCs w:val="20"/>
              </w:rPr>
              <w:t>Public practice</w:t>
            </w:r>
          </w:p>
        </w:tc>
        <w:tc>
          <w:tcPr>
            <w:tcW w:w="5040" w:type="dxa"/>
          </w:tcPr>
          <w:p w14:paraId="1C14EDD7" w14:textId="77777777" w:rsidR="00C91FF3" w:rsidRPr="0081497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14972">
              <w:rPr>
                <w:rFonts w:ascii="Arial" w:hAnsi="Arial" w:cs="Arial"/>
                <w:sz w:val="20"/>
                <w:szCs w:val="20"/>
              </w:rPr>
              <w:t>Tax, audit, business advisory, insolvency, forensic accounting and specialist consulting.</w:t>
            </w:r>
          </w:p>
        </w:tc>
      </w:tr>
      <w:tr w:rsidR="00C91FF3" w:rsidRPr="00814972" w14:paraId="263713B1" w14:textId="77777777">
        <w:tc>
          <w:tcPr>
            <w:tcW w:w="5040" w:type="dxa"/>
          </w:tcPr>
          <w:p w14:paraId="775BDE32" w14:textId="77777777" w:rsidR="00C91FF3" w:rsidRPr="0081497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14972">
              <w:rPr>
                <w:rFonts w:ascii="Arial" w:hAnsi="Arial" w:cs="Arial"/>
                <w:sz w:val="20"/>
                <w:szCs w:val="20"/>
              </w:rPr>
              <w:t>Corporate &amp; commercial</w:t>
            </w:r>
          </w:p>
        </w:tc>
        <w:tc>
          <w:tcPr>
            <w:tcW w:w="5040" w:type="dxa"/>
          </w:tcPr>
          <w:p w14:paraId="1A681695" w14:textId="77777777" w:rsidR="00C91FF3" w:rsidRPr="0081497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14972">
              <w:rPr>
                <w:rFonts w:ascii="Arial" w:hAnsi="Arial" w:cs="Arial"/>
                <w:sz w:val="20"/>
                <w:szCs w:val="20"/>
              </w:rPr>
              <w:t>Financial accounting, management accounting, commercial analysis, finance leadership and strategy.</w:t>
            </w:r>
          </w:p>
        </w:tc>
      </w:tr>
      <w:tr w:rsidR="00C91FF3" w:rsidRPr="00814972" w14:paraId="606D55BF" w14:textId="77777777">
        <w:tc>
          <w:tcPr>
            <w:tcW w:w="5040" w:type="dxa"/>
          </w:tcPr>
          <w:p w14:paraId="29FB44AB" w14:textId="77777777" w:rsidR="00C91FF3" w:rsidRPr="0081497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14972">
              <w:rPr>
                <w:rFonts w:ascii="Arial" w:hAnsi="Arial" w:cs="Arial"/>
                <w:sz w:val="20"/>
                <w:szCs w:val="20"/>
              </w:rPr>
              <w:t>Technology</w:t>
            </w:r>
          </w:p>
        </w:tc>
        <w:tc>
          <w:tcPr>
            <w:tcW w:w="5040" w:type="dxa"/>
          </w:tcPr>
          <w:p w14:paraId="27862605" w14:textId="77777777" w:rsidR="00C91FF3" w:rsidRPr="0081497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14972">
              <w:rPr>
                <w:rFonts w:ascii="Arial" w:hAnsi="Arial" w:cs="Arial"/>
                <w:sz w:val="20"/>
                <w:szCs w:val="20"/>
              </w:rPr>
              <w:t>Accounting systems, data, automation, AI-enabled finance and implementation roles.</w:t>
            </w:r>
          </w:p>
        </w:tc>
      </w:tr>
      <w:tr w:rsidR="00C91FF3" w:rsidRPr="00814972" w14:paraId="6C84A16B" w14:textId="77777777">
        <w:tc>
          <w:tcPr>
            <w:tcW w:w="5040" w:type="dxa"/>
          </w:tcPr>
          <w:p w14:paraId="5D7F689C" w14:textId="77777777" w:rsidR="00C91FF3" w:rsidRPr="0081497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14972">
              <w:rPr>
                <w:rFonts w:ascii="Arial" w:hAnsi="Arial" w:cs="Arial"/>
                <w:sz w:val="20"/>
                <w:szCs w:val="20"/>
              </w:rPr>
              <w:t>Government &amp; not-for-profit</w:t>
            </w:r>
          </w:p>
        </w:tc>
        <w:tc>
          <w:tcPr>
            <w:tcW w:w="5040" w:type="dxa"/>
          </w:tcPr>
          <w:p w14:paraId="7BDD1BE9" w14:textId="77777777" w:rsidR="00C91FF3" w:rsidRPr="0081497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14972">
              <w:rPr>
                <w:rFonts w:ascii="Arial" w:hAnsi="Arial" w:cs="Arial"/>
                <w:sz w:val="20"/>
                <w:szCs w:val="20"/>
              </w:rPr>
              <w:t>Public finance, policy, assurance, governance and mission-led organisations.</w:t>
            </w:r>
          </w:p>
        </w:tc>
      </w:tr>
      <w:tr w:rsidR="00C91FF3" w:rsidRPr="00814972" w14:paraId="3AEC8C80" w14:textId="77777777">
        <w:tc>
          <w:tcPr>
            <w:tcW w:w="5040" w:type="dxa"/>
          </w:tcPr>
          <w:p w14:paraId="373175BD" w14:textId="77777777" w:rsidR="00C91FF3" w:rsidRPr="0081497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14972">
              <w:rPr>
                <w:rFonts w:ascii="Arial" w:hAnsi="Arial" w:cs="Arial"/>
                <w:sz w:val="20"/>
                <w:szCs w:val="20"/>
              </w:rPr>
              <w:t>Entrepreneurship</w:t>
            </w:r>
          </w:p>
        </w:tc>
        <w:tc>
          <w:tcPr>
            <w:tcW w:w="5040" w:type="dxa"/>
          </w:tcPr>
          <w:p w14:paraId="7F7EB4D7" w14:textId="77777777" w:rsidR="00C91FF3" w:rsidRPr="0081497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14972">
              <w:rPr>
                <w:rFonts w:ascii="Arial" w:hAnsi="Arial" w:cs="Arial"/>
                <w:sz w:val="20"/>
                <w:szCs w:val="20"/>
              </w:rPr>
              <w:t>Starting, buying, growing or advising businesses.</w:t>
            </w:r>
          </w:p>
        </w:tc>
      </w:tr>
      <w:tr w:rsidR="00C91FF3" w:rsidRPr="00814972" w14:paraId="2820E65C" w14:textId="77777777">
        <w:tc>
          <w:tcPr>
            <w:tcW w:w="5040" w:type="dxa"/>
          </w:tcPr>
          <w:p w14:paraId="1FD6CFA9" w14:textId="77777777" w:rsidR="00C91FF3" w:rsidRPr="0081497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14972">
              <w:rPr>
                <w:rFonts w:ascii="Arial" w:hAnsi="Arial" w:cs="Arial"/>
                <w:sz w:val="20"/>
                <w:szCs w:val="20"/>
              </w:rPr>
              <w:t>Specialist fields</w:t>
            </w:r>
          </w:p>
        </w:tc>
        <w:tc>
          <w:tcPr>
            <w:tcW w:w="5040" w:type="dxa"/>
          </w:tcPr>
          <w:p w14:paraId="0EE952F9" w14:textId="77777777" w:rsidR="00C91FF3" w:rsidRPr="0081497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14972">
              <w:rPr>
                <w:rFonts w:ascii="Arial" w:hAnsi="Arial" w:cs="Arial"/>
                <w:sz w:val="20"/>
                <w:szCs w:val="20"/>
              </w:rPr>
              <w:t>Sustainability, risk, fraud, valuation, restructuring, treasury and more.</w:t>
            </w:r>
          </w:p>
        </w:tc>
      </w:tr>
    </w:tbl>
    <w:p w14:paraId="11323157" w14:textId="77777777" w:rsidR="00C91FF3" w:rsidRPr="00814972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814972">
        <w:rPr>
          <w:rFonts w:ascii="Arial" w:hAnsi="Arial" w:cs="Arial"/>
          <w:color w:val="auto"/>
          <w:sz w:val="20"/>
          <w:szCs w:val="20"/>
        </w:rPr>
        <w:t>Pathways into the profession</w:t>
      </w:r>
    </w:p>
    <w:p w14:paraId="4D9B88E2" w14:textId="49C16AD6" w:rsidR="00C91FF3" w:rsidRPr="00814972" w:rsidRDefault="00000000">
      <w:pPr>
        <w:spacing w:after="200"/>
        <w:rPr>
          <w:rFonts w:ascii="Arial" w:hAnsi="Arial" w:cs="Arial"/>
          <w:sz w:val="20"/>
          <w:szCs w:val="20"/>
        </w:rPr>
      </w:pPr>
      <w:r w:rsidRPr="00814972">
        <w:rPr>
          <w:rFonts w:ascii="Arial" w:hAnsi="Arial" w:cs="Arial"/>
          <w:sz w:val="20"/>
          <w:szCs w:val="20"/>
        </w:rPr>
        <w:t xml:space="preserve">Pathways vary by country and institution and may include university study, vocational education, traineeships, internships and employer-based programs. Students should check local </w:t>
      </w:r>
      <w:proofErr w:type="gramStart"/>
      <w:r w:rsidRPr="00814972">
        <w:rPr>
          <w:rFonts w:ascii="Arial" w:hAnsi="Arial" w:cs="Arial"/>
          <w:sz w:val="20"/>
          <w:szCs w:val="20"/>
        </w:rPr>
        <w:t>entry</w:t>
      </w:r>
      <w:proofErr w:type="gramEnd"/>
      <w:r w:rsidRPr="00814972">
        <w:rPr>
          <w:rFonts w:ascii="Arial" w:hAnsi="Arial" w:cs="Arial"/>
          <w:sz w:val="20"/>
          <w:szCs w:val="20"/>
        </w:rPr>
        <w:t xml:space="preserve"> and professional qualification requirements.</w:t>
      </w:r>
    </w:p>
    <w:sectPr w:rsidR="00C91FF3" w:rsidRPr="00814972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3797491">
    <w:abstractNumId w:val="8"/>
  </w:num>
  <w:num w:numId="2" w16cid:durableId="1410422052">
    <w:abstractNumId w:val="6"/>
  </w:num>
  <w:num w:numId="3" w16cid:durableId="1997226508">
    <w:abstractNumId w:val="5"/>
  </w:num>
  <w:num w:numId="4" w16cid:durableId="867379126">
    <w:abstractNumId w:val="4"/>
  </w:num>
  <w:num w:numId="5" w16cid:durableId="627592589">
    <w:abstractNumId w:val="7"/>
  </w:num>
  <w:num w:numId="6" w16cid:durableId="1808820884">
    <w:abstractNumId w:val="3"/>
  </w:num>
  <w:num w:numId="7" w16cid:durableId="711156774">
    <w:abstractNumId w:val="2"/>
  </w:num>
  <w:num w:numId="8" w16cid:durableId="1613168952">
    <w:abstractNumId w:val="1"/>
  </w:num>
  <w:num w:numId="9" w16cid:durableId="1691881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14972"/>
    <w:rsid w:val="00AA1D8D"/>
    <w:rsid w:val="00B47730"/>
    <w:rsid w:val="00C91FF3"/>
    <w:rsid w:val="00CB0664"/>
    <w:rsid w:val="00F328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D471C5"/>
  <w14:defaultImageDpi w14:val="300"/>
  <w15:docId w15:val="{D58CFA0E-8151-49FA-9222-828A2C7E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 Kaleb</cp:lastModifiedBy>
  <cp:revision>2</cp:revision>
  <dcterms:created xsi:type="dcterms:W3CDTF">2013-12-23T23:15:00Z</dcterms:created>
  <dcterms:modified xsi:type="dcterms:W3CDTF">2026-09-22T02:52:00Z</dcterms:modified>
  <cp:category/>
</cp:coreProperties>
</file>